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8A" w:rsidRDefault="00603A48" w:rsidP="00603A48">
      <w:pPr>
        <w:ind w:firstLine="708"/>
      </w:pPr>
      <w:bookmarkStart w:id="0" w:name="_GoBack"/>
      <w:bookmarkEnd w:id="0"/>
      <w:r>
        <w:t>Бондарь, А. Три юбилея этнокультурных центров / А. Бондарь // Вечерняя газета. – 2019. – 27 февр. (№9) . –С.13.</w:t>
      </w:r>
    </w:p>
    <w:sectPr w:rsidR="0061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03"/>
    <w:rsid w:val="00120703"/>
    <w:rsid w:val="00603A48"/>
    <w:rsid w:val="006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5D1D2-32C9-4B6A-9ADB-24E58863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2024-02-14T04:40:00Z</dcterms:created>
  <dcterms:modified xsi:type="dcterms:W3CDTF">2024-02-14T04:41:00Z</dcterms:modified>
</cp:coreProperties>
</file>