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80" w:rsidRDefault="00671C7A" w:rsidP="00671C7A">
      <w:pPr>
        <w:ind w:firstLine="708"/>
      </w:pPr>
      <w:bookmarkStart w:id="0" w:name="_GoBack"/>
      <w:bookmarkEnd w:id="0"/>
      <w:r>
        <w:t>Могильницкий, В. Золотое перо Оськина / В. Могильницкий //Темиртауский рабочий. – 2012. – 21 марта (№12). – С.21.</w:t>
      </w:r>
    </w:p>
    <w:sectPr w:rsidR="0063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30"/>
    <w:rsid w:val="00632780"/>
    <w:rsid w:val="00671C7A"/>
    <w:rsid w:val="009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3AB0-988C-4FA3-AF59-7E60512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2024-02-14T09:04:00Z</dcterms:created>
  <dcterms:modified xsi:type="dcterms:W3CDTF">2024-02-14T09:05:00Z</dcterms:modified>
</cp:coreProperties>
</file>